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26F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PROGRAMMA MINIMO DI GEOGRAFIA GENERALE</w:t>
      </w:r>
    </w:p>
    <w:p w:rsidR="00CB426F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B426F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PRIMA Sezione A – TURISMO (ISTITUTO TECNICO)</w:t>
      </w:r>
    </w:p>
    <w:p w:rsidR="00CB426F" w:rsidRDefault="00CB426F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40" w:lineRule="auto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F. </w:t>
      </w:r>
      <w:proofErr w:type="spellStart"/>
      <w:r>
        <w:rPr>
          <w:rFonts w:ascii="Cambria" w:eastAsia="Cambria" w:hAnsi="Cambria" w:cs="Cambria"/>
          <w:sz w:val="20"/>
          <w:szCs w:val="20"/>
        </w:rPr>
        <w:t>Gamberucci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‘Geografia del mondo che cambia’, Vol. 1, </w:t>
      </w:r>
      <w:proofErr w:type="spellStart"/>
      <w:r>
        <w:rPr>
          <w:rFonts w:ascii="Cambria" w:eastAsia="Cambria" w:hAnsi="Cambria" w:cs="Cambria"/>
          <w:sz w:val="20"/>
          <w:szCs w:val="20"/>
        </w:rPr>
        <w:t>Markes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Rizzoli </w:t>
      </w:r>
      <w:proofErr w:type="spellStart"/>
      <w:r>
        <w:rPr>
          <w:rFonts w:ascii="Cambria" w:eastAsia="Cambria" w:hAnsi="Cambria" w:cs="Cambria"/>
          <w:sz w:val="20"/>
          <w:szCs w:val="20"/>
        </w:rPr>
        <w:t>Education</w:t>
      </w:r>
      <w:proofErr w:type="spellEnd"/>
      <w:r>
        <w:rPr>
          <w:rFonts w:ascii="Cambria" w:eastAsia="Cambria" w:hAnsi="Cambria" w:cs="Cambria"/>
          <w:sz w:val="20"/>
          <w:szCs w:val="20"/>
        </w:rPr>
        <w:t>, 2020</w:t>
      </w:r>
    </w:p>
    <w:p w:rsidR="00CB426F" w:rsidRDefault="00CB426F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B426F" w:rsidRDefault="00CB426F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B426F" w:rsidRDefault="00CB426F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B426F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1: GLI STRUMENTI DELLA GEOGRAFIA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reticolo geografico (paralleli e meridiani)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carte geografiche: fisica, politica e tematica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Saper leggere una carta geografica:</w:t>
      </w:r>
      <w:r>
        <w:rPr>
          <w:rFonts w:ascii="Cambria" w:eastAsia="Cambria" w:hAnsi="Cambria" w:cs="Cambria"/>
          <w:sz w:val="20"/>
          <w:szCs w:val="20"/>
        </w:rPr>
        <w:br/>
        <w:t>i simboli e la legenda</w:t>
      </w:r>
      <w:r>
        <w:rPr>
          <w:rFonts w:ascii="Cambria" w:eastAsia="Cambria" w:hAnsi="Cambria" w:cs="Cambria"/>
          <w:sz w:val="20"/>
          <w:szCs w:val="20"/>
        </w:rPr>
        <w:br/>
        <w:t>la scala di riduzione</w:t>
      </w:r>
      <w:r>
        <w:rPr>
          <w:rFonts w:ascii="Cambria" w:eastAsia="Cambria" w:hAnsi="Cambria" w:cs="Cambria"/>
          <w:sz w:val="20"/>
          <w:szCs w:val="20"/>
        </w:rPr>
        <w:br/>
        <w:t>le coordinate geografiche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nuove tecniche di rilevamento e cartografia (GPS)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fusi orari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40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2: L’AMBIENTE EUROPEO E ITALIANO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Idrografia: mari, fiumi e laghi principali d’Europa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montagne e le pianure europee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aree vulcaniche e sismiche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Climi e ambienti naturali dell’Europa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3: LA POPOLAZIONE EUROPEA E ITALIANA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Che cos’è la demografia? (Indicatori di base)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migrazioni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sistema urbano europeo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4: L’ECONOMIA EUROPEA E ITALIANA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L’agricoltura e la pesca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L’energia (risorse minerarie ed energetiche in Europa)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Il settore terziario 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5: L'EUROPA POLITICA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istituzioni europee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L’Unione Europea e le sue politiche comuni</w:t>
      </w:r>
    </w:p>
    <w:p w:rsidR="00CB426F" w:rsidRDefault="00CB426F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B426F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6: FRANCIA E REGNO UNITO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territorio (morfologia, idrografia, rilievi)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La demografia</w:t>
      </w:r>
    </w:p>
    <w:p w:rsidR="00CB426F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40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L’economia </w:t>
      </w:r>
    </w:p>
    <w:sectPr w:rsidR="00CB4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83C" w:rsidRDefault="001A383C">
      <w:pPr>
        <w:spacing w:after="0" w:line="240" w:lineRule="auto"/>
      </w:pPr>
      <w:r>
        <w:separator/>
      </w:r>
    </w:p>
  </w:endnote>
  <w:endnote w:type="continuationSeparator" w:id="0">
    <w:p w:rsidR="001A383C" w:rsidRDefault="001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B426F">
      <w:trPr>
        <w:trHeight w:val="964"/>
      </w:trPr>
      <w:tc>
        <w:tcPr>
          <w:tcW w:w="3393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4" name="image2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37" name="image5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36" name="image4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B426F" w:rsidRDefault="00CB4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83C" w:rsidRDefault="001A383C">
      <w:pPr>
        <w:spacing w:after="0" w:line="240" w:lineRule="auto"/>
      </w:pPr>
      <w:r>
        <w:separator/>
      </w:r>
    </w:p>
  </w:footnote>
  <w:footnote w:type="continuationSeparator" w:id="0">
    <w:p w:rsidR="001A383C" w:rsidRDefault="001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B426F">
      <w:tc>
        <w:tcPr>
          <w:tcW w:w="1560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3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B42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35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B42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B426F" w:rsidRDefault="001A3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6F" w:rsidRDefault="00CB4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26A"/>
    <w:multiLevelType w:val="multilevel"/>
    <w:tmpl w:val="424846F0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847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6F"/>
    <w:rsid w:val="001A383C"/>
    <w:rsid w:val="004B5C31"/>
    <w:rsid w:val="00C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AxUMvTnSTPq4o1hzP530laI6w==">CgMxLjA4AHIhMWNtdUxadTBDSXItMHFlX3hUUDkxX1hKZVRISF9mSkdj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2023-06-06T15:17:00Z</dcterms:created>
  <dcterms:modified xsi:type="dcterms:W3CDTF">2023-06-06T15:17:00Z</dcterms:modified>
</cp:coreProperties>
</file>