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PROGRAMMA A.S. 2022-2032- OBIETTIVI MINIMI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CLASSE 3^  TECNICO PER LE BIOTECNOLOGIE SANITARIE E LOGISTICA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Testi in adozione: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UPPER INTERMEDIATE IDENTITY B 2</w:t>
      </w:r>
      <w:r w:rsidDel="00000000" w:rsidR="00000000" w:rsidRPr="00000000">
        <w:rPr>
          <w:sz w:val="18"/>
          <w:szCs w:val="18"/>
          <w:rtl w:val="0"/>
        </w:rPr>
        <w:t xml:space="preserve">– Oxford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Grammar and Vocabulary for Real World</w:t>
      </w:r>
      <w:r w:rsidDel="00000000" w:rsidR="00000000" w:rsidRPr="00000000">
        <w:rPr>
          <w:sz w:val="18"/>
          <w:szCs w:val="18"/>
          <w:rtl w:val="0"/>
        </w:rPr>
        <w:t xml:space="preserve"> – Oxford University Press -J. Hird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615"/>
        <w:tblGridChange w:id="0">
          <w:tblGrid>
            <w:gridCol w:w="2250"/>
            <w:gridCol w:w="661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COMPETENZE LINGUISTICHE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(LIVELLO B2)</w:t>
            </w:r>
          </w:p>
        </w:tc>
      </w:tr>
      <w:tr>
        <w:trPr>
          <w:cantSplit w:val="0"/>
          <w:trHeight w:val="20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e6e6e6" w:val="clear"/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Obiettivi specifici di apprendimento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Sviluppare conoscenze e competenze linguistico-comunicative: utilizzare una lingua straniera per i principali scopi comunicativi ed operativi (L’asse dei linguaggi); Comunicazione nella lingua straniera (Competenze EU)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ind w:left="1080" w:hanging="36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</w:rPr>
            </w:pPr>
            <w:bookmarkStart w:colFirst="0" w:colLast="0" w:name="_heading=h.7esq2eaqcb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18"/>
                <w:szCs w:val="18"/>
                <w:rtl w:val="0"/>
              </w:rPr>
              <w:t xml:space="preserve">Sa comprendere le idee principali e dettagli di testi inerenti l’attualità ed argomenti di carattere generale.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parole ed espressioni tipiche della sfera familiare e dell’area professionalizzante.</w:t>
            </w:r>
          </w:p>
        </w:tc>
      </w:tr>
      <w:tr>
        <w:trPr>
          <w:cantSplit w:val="0"/>
          <w:trHeight w:val="22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la lingua inglese per scopi comunicativi in diversi ambiti e contesti professionali, sia per relazionare contenuti che per sostenere una conversazione.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Interagire in situazioni che si presentano viaggiando in una regione dove si parla la lingua inglese ed esprimere bisogni concreti in riferimento a contesti reali.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Descrivere immagini e situazioni con un lessico adeguato.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Esprimere in modo chiaro e semplice intenzioni, ipotesi, esperienze e processi.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Descrivere esperienze ed eventi relativi all’ambito professionale.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ind w:left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lettere formali di richieste di informazioni e relative risposte.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ind w:left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un riassunto.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35"/>
        <w:gridCol w:w="3930"/>
        <w:tblGridChange w:id="0">
          <w:tblGrid>
            <w:gridCol w:w="4935"/>
            <w:gridCol w:w="39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ABILITA’</w:t>
            </w:r>
          </w:p>
        </w:tc>
      </w:tr>
      <w:tr>
        <w:trPr>
          <w:cantSplit w:val="0"/>
          <w:trHeight w:val="20655.8789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STARTER UNIT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hobbies, travel relationships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present simple and continuous, stative and dynamic verbs, past simple and continuous + when, while, as and as soon as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 perfect and simple past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1 - ME MYSELF AND I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personality and character, negative prefixes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 perfect simple, present perfect with adverbs, present perfect simple and continuous + for/since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use of 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Careful and selective reading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strategy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sentence completion tasks. Writing an informal email.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2 - WHAT’S YOUR STORY?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adjective -ed and -ing,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past simple and past perfect, past perfect continuous, used to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3  - LOOKING AHEAD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Work and jobs, noun suffixes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Future forms, future time clauses, future continuous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use of 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Listening strategy, answering multiple choice questions. Writing an essay.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strategy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matching paragraph headings.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 4 - HEALTHY LIVING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Food and drink,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Vocabulary strategy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writing example sentences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Modal verbs ability and permission, advice, obligation and prohibition, possibility, probability and certainty. Modal perfects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use of English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Writing an article.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5 - THERE IS NO PLANET B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Vocabulary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adjective suffixes -able, -ible, -ful -less, -al  -Weather and climate change.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Zero, first, second and third conditional + unless, in case, as long as, only, even if.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testi su temi che rientrano nell’ambito degli interessi personali.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semplici articoli o saggi su argomenti di carattere specifico e professionale tratti da quotidiani e riviste o testi in micro lingua semplificati o guidati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diverse strategie, per comprendere, prestare attenzione ai punti principali o verificare la comprensione utilizzando indicazioni contestuali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Ascoltare conversazioni telefoniche, dialoghi relativi all’attualità, alla sfera personale, di studio e lavoro ed interviste di carattere professionale per comprenderne le idee principali e i dettagli.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Scambiare informazioni inerenti il proprio campo di specializzazione e d’interesse (viaggi , ambiente ).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Fornire descrizioni su temi inerenti la sfera degli interessi personali.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Saper motivare e sostenere le opinioni personali in una discussione mediante spiegazioni, argomentazioni e commenti, evidenziando vantaggi e svantaggi di una situazione.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Dare e chiedere informazioni e consigli.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Esprimere opinioni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Esprimere preferenze/gusti.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Fare previsioni o desumere fatti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un riassunto su argomenti relativi all’indirizzo di studio trattati in classe.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Esporre un tema, mettendone in risalto i punti essenziali e adducendo i motivi a sostegno della propria tesi. ( saggi o relazioni sui pro e contro di un’esperienza o di un argomento)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testi semplici su temi inerenti la sfera degli interessi personali o argomenti di indirizzo trattati in classe sotto forma di relazione, resoconto o riassunto.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Scrivere emails per richiedere informazioni o suggerimenti.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A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Bassano del Grappa, 30 maggio 2023</w:t>
      </w:r>
    </w:p>
    <w:p w:rsidR="00000000" w:rsidDel="00000000" w:rsidP="00000000" w:rsidRDefault="00000000" w:rsidRPr="00000000" w14:paraId="0000005F">
      <w:pPr>
        <w:spacing w:after="240" w:before="240" w:lineRule="auto"/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31DC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431DC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431DC9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 w:val="1"/>
    <w:rsid w:val="00431DC9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431DC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" w:customStyle="1">
    <w:name w:val="Text"/>
    <w:next w:val="Normale"/>
    <w:qFormat w:val="1"/>
    <w:rsid w:val="00431DC9"/>
    <w:pPr>
      <w:widowControl w:val="0"/>
      <w:suppressAutoHyphens w:val="1"/>
      <w:autoSpaceDE w:val="0"/>
      <w:autoSpaceDN w:val="0"/>
      <w:adjustRightInd w:val="0"/>
      <w:spacing w:after="0" w:before="120" w:line="240" w:lineRule="auto"/>
      <w:textAlignment w:val="center"/>
    </w:pPr>
    <w:rPr>
      <w:rFonts w:ascii="Times" w:cs="Times New Roman" w:eastAsia="Times New Roman" w:hAnsi="Times"/>
      <w:color w:val="000000"/>
      <w:sz w:val="24"/>
      <w:szCs w:val="24"/>
      <w:lang w:val="en-GB"/>
    </w:rPr>
  </w:style>
  <w:style w:type="paragraph" w:styleId="Dialogue" w:customStyle="1">
    <w:name w:val="Dialogue"/>
    <w:next w:val="Normale"/>
    <w:rsid w:val="00431DC9"/>
    <w:pPr>
      <w:widowControl w:val="0"/>
      <w:suppressAutoHyphens w:val="1"/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Times" w:cs="Times New Roman" w:eastAsia="Times New Roman" w:hAnsi="Times"/>
      <w:color w:val="000080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2UOwNtL3hsLB+EvE38Xcn6ppXw==">CgMxLjAyDmguN2VzcTJlYXFjYmxsOAByITEza3dOc2JORGszRWdNZnhqZE92NDA0WFl2WFJNc0oxeQ==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2022-06-09T16:44:00Z</dcterms:created>
  <dc:creator>PC CASA</dc:creator>
</cp:coreProperties>
</file>