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D3" w:rsidRDefault="00E419D3" w:rsidP="00E419D3">
      <w:pPr>
        <w:pStyle w:val="normal"/>
        <w:jc w:val="center"/>
        <w:rPr>
          <w:b/>
        </w:rPr>
      </w:pPr>
      <w:r>
        <w:rPr>
          <w:b/>
        </w:rPr>
        <w:t>CONTENUTI MINIMI DIPARTIMENTO  DISCIPLINE SANITARIE</w:t>
      </w:r>
    </w:p>
    <w:p w:rsidR="00E419D3" w:rsidRDefault="00E419D3" w:rsidP="00E419D3">
      <w:pPr>
        <w:pStyle w:val="normal"/>
        <w:jc w:val="center"/>
        <w:rPr>
          <w:b/>
        </w:rPr>
      </w:pPr>
    </w:p>
    <w:p w:rsidR="00E419D3" w:rsidRDefault="00E419D3" w:rsidP="00E419D3">
      <w:pPr>
        <w:pStyle w:val="normal"/>
        <w:jc w:val="center"/>
        <w:rPr>
          <w:b/>
        </w:rPr>
      </w:pPr>
      <w:r>
        <w:rPr>
          <w:b/>
        </w:rPr>
        <w:t>INDIRIZZO SSAS</w:t>
      </w:r>
    </w:p>
    <w:p w:rsidR="00E419D3" w:rsidRDefault="00E419D3" w:rsidP="00E419D3">
      <w:pPr>
        <w:pStyle w:val="normal"/>
        <w:spacing w:after="200"/>
        <w:jc w:val="center"/>
        <w:rPr>
          <w:b/>
        </w:rPr>
      </w:pPr>
      <w:r>
        <w:rPr>
          <w:b/>
        </w:rPr>
        <w:t>CLASSE QUARTA</w:t>
      </w:r>
    </w:p>
    <w:p w:rsidR="00E419D3" w:rsidRDefault="00E419D3" w:rsidP="00E419D3">
      <w:pPr>
        <w:pStyle w:val="normal"/>
        <w:numPr>
          <w:ilvl w:val="0"/>
          <w:numId w:val="3"/>
        </w:numPr>
        <w:spacing w:after="200"/>
      </w:pPr>
      <w:r>
        <w:t>Anatomia del sistema linfatico</w:t>
      </w:r>
    </w:p>
    <w:p w:rsidR="00E419D3" w:rsidRDefault="00E419D3" w:rsidP="00E419D3">
      <w:pPr>
        <w:pStyle w:val="normal"/>
        <w:numPr>
          <w:ilvl w:val="0"/>
          <w:numId w:val="1"/>
        </w:numPr>
        <w:spacing w:after="200"/>
      </w:pPr>
      <w:r>
        <w:t>Caratteristiche peculiari dell’immunità specifica ed aspecifica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classificazione e funzioni dei leucociti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meccanismi dell’immunità aspecifica; fagocitosi, infiammazione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 xml:space="preserve">dell’immunità umorale e  immunoglobuline, 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risposta umorale di tipo primario e secondario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anatomia dell'apparato digerente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la digestione dei carboidrati, dei lipidi, dei glucidi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anatomia generale del sistema nervoso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classificazione e funzioni dei principi alimentari/nutritivi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criteri  quantitativi e qualitativi per la dieta equilibrata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caratteristiche principali delle diete nelle varie età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Contenuti minimi: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salute e malattia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prevenzione primaria, secondaria e terziaria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concetti di  tassi, incidenza, prevalenza,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cenni di epidemiologia descrittiva, analitica e sperimentale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 xml:space="preserve"> modalità di trasmissione delle malattie infettive. 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 xml:space="preserve"> Profilassi diretta , misure relative ai veicoli e ai vettori di infezione, interventi relativi all’uomo sano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virus e batteri</w:t>
      </w:r>
    </w:p>
    <w:p w:rsidR="00E419D3" w:rsidRDefault="00E419D3" w:rsidP="00E419D3">
      <w:pPr>
        <w:pStyle w:val="normal"/>
        <w:numPr>
          <w:ilvl w:val="0"/>
          <w:numId w:val="2"/>
        </w:numPr>
        <w:spacing w:after="200"/>
      </w:pPr>
      <w:r>
        <w:t>quadro clinico e prevenzione della poliomielite e del tetano</w:t>
      </w:r>
    </w:p>
    <w:p w:rsidR="00E419D3" w:rsidRDefault="00E419D3" w:rsidP="00E419D3">
      <w:pPr>
        <w:pStyle w:val="normal"/>
        <w:spacing w:after="200"/>
        <w:ind w:left="720"/>
      </w:pPr>
    </w:p>
    <w:p w:rsidR="00C568EE" w:rsidRDefault="00C568EE"/>
    <w:sectPr w:rsidR="00C568EE" w:rsidSect="00C56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4F4"/>
    <w:multiLevelType w:val="multilevel"/>
    <w:tmpl w:val="77047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>
    <w:nsid w:val="1D6C7DDF"/>
    <w:multiLevelType w:val="multilevel"/>
    <w:tmpl w:val="29E22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nsid w:val="334E7A57"/>
    <w:multiLevelType w:val="multilevel"/>
    <w:tmpl w:val="48F67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19D3"/>
    <w:rsid w:val="00C568EE"/>
    <w:rsid w:val="00E4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8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419D3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HP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1000460</dc:creator>
  <cp:lastModifiedBy>1000460</cp:lastModifiedBy>
  <cp:revision>2</cp:revision>
  <dcterms:created xsi:type="dcterms:W3CDTF">2024-10-01T08:31:00Z</dcterms:created>
  <dcterms:modified xsi:type="dcterms:W3CDTF">2024-10-01T08:31:00Z</dcterms:modified>
</cp:coreProperties>
</file>