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MATEMATICA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A.S. 2024/2025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CONTENUTI MINIMI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mallCaps w:val="1"/>
          <w:color w:val="000000"/>
          <w:sz w:val="24"/>
          <w:szCs w:val="24"/>
          <w:u w:val="single"/>
          <w:rtl w:val="0"/>
        </w:rPr>
        <w:t xml:space="preserve">Classi 4^ Professionali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sz w:val="24"/>
          <w:szCs w:val="24"/>
          <w:rtl w:val="0"/>
        </w:rPr>
        <w:t xml:space="preserve">Servizi Commerciali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FUNZIONI</w:t>
      </w:r>
    </w:p>
    <w:p w:rsidR="00000000" w:rsidDel="00000000" w:rsidP="00000000" w:rsidRDefault="00000000" w:rsidRPr="00000000" w14:paraId="0000000B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Definizione e classificazione. Definizioni di dominio, codominio, f. pari e dispari.</w:t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Rappresentazione grafica (con tabelle di valori) di funzioni: costante, lineare, quadratica, esponenziale e definita a tratti.</w:t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Funzioni razionali intere e fratte: calcolo algebrico del dominio. Studio algebrico del segno, simmetrie ed intersezioni con gli assi.</w:t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Lettura da grafico di: dominio e codominio, intersezioni con gli assi, intervalli di positività e negatività, intervalli di crescenza e decrescenza, simmetrie.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7)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ALGEBRA</w:t>
      </w:r>
    </w:p>
    <w:p w:rsidR="00000000" w:rsidDel="00000000" w:rsidP="00000000" w:rsidRDefault="00000000" w:rsidRPr="00000000" w14:paraId="0000001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Funzione esponenziale e logaritmica.</w:t>
      </w:r>
    </w:p>
    <w:p w:rsidR="00000000" w:rsidDel="00000000" w:rsidP="00000000" w:rsidRDefault="00000000" w:rsidRPr="00000000" w14:paraId="0000001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Equazioni elementari esponenziali e logaritmiche (</w:t>
      </w:r>
      <w:r w:rsidDel="00000000" w:rsidR="00000000" w:rsidRPr="00000000">
        <w:rPr>
          <w:rFonts w:ascii="Cambria Math" w:cs="Cambria Math" w:eastAsia="Cambria Math" w:hAnsi="Cambria Math"/>
          <w:color w:val="ff0000"/>
          <w:sz w:val="24"/>
          <w:szCs w:val="24"/>
          <w:rtl w:val="0"/>
        </w:rPr>
        <w:t xml:space="preserve">4C no eq. log, 4E no eq. log, 4F no eq. log., 4D pure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5)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LIMITI </w:t>
      </w:r>
      <w:r w:rsidDel="00000000" w:rsidR="00000000" w:rsidRPr="00000000">
        <w:rPr>
          <w:rFonts w:ascii="Cambria Math" w:cs="Cambria Math" w:eastAsia="Cambria Math" w:hAnsi="Cambria Math"/>
          <w:color w:val="ff0000"/>
          <w:sz w:val="24"/>
          <w:szCs w:val="24"/>
          <w:rtl w:val="0"/>
        </w:rPr>
        <w:t xml:space="preserve">(NO 4H, 4L)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Concetto intuitivo da grafico di: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limite destro e sinistro;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limite finito di una funzione per x che tende a un valore finito;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limite finito di una funzione per x che tende all’infinito;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limite infinito di una funzione per x che tende ad un valore finito;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limite infinito di una funzione per x che tende all’infinito.</w:t>
      </w:r>
    </w:p>
    <w:p w:rsidR="00000000" w:rsidDel="00000000" w:rsidP="00000000" w:rsidRDefault="00000000" w:rsidRPr="00000000" w14:paraId="0000001D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Asintoti orizzontali e verticali. </w:t>
      </w:r>
    </w:p>
    <w:p w:rsidR="00000000" w:rsidDel="00000000" w:rsidP="00000000" w:rsidRDefault="00000000" w:rsidRPr="00000000" w14:paraId="0000001E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Regole di calcolo (somme, prodotti, quozienti) nel caso di limiti finiti ed infiniti.</w:t>
      </w:r>
    </w:p>
    <w:p w:rsidR="00000000" w:rsidDel="00000000" w:rsidP="00000000" w:rsidRDefault="00000000" w:rsidRPr="00000000" w14:paraId="0000001F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Forme di indecisione di funzioni algebriche :  +∞ -∞,  0/0 e ∞/∞. (</w:t>
      </w:r>
      <w:r w:rsidDel="00000000" w:rsidR="00000000" w:rsidRPr="00000000">
        <w:rPr>
          <w:rFonts w:ascii="Cambria Math" w:cs="Cambria Math" w:eastAsia="Cambria Math" w:hAnsi="Cambria Math"/>
          <w:color w:val="ff0000"/>
          <w:sz w:val="24"/>
          <w:szCs w:val="24"/>
          <w:rtl w:val="0"/>
        </w:rPr>
        <w:t xml:space="preserve">NO 4C, 4I, 4F, 4D solo riconoscimento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jc w:val="left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libro di testo, unità 8)</w:t>
      </w:r>
    </w:p>
    <w:p w:rsidR="00000000" w:rsidDel="00000000" w:rsidP="00000000" w:rsidRDefault="00000000" w:rsidRPr="00000000" w14:paraId="0000002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GRAFICO PROBABILE</w:t>
      </w:r>
    </w:p>
    <w:p w:rsidR="00000000" w:rsidDel="00000000" w:rsidP="00000000" w:rsidRDefault="00000000" w:rsidRPr="00000000" w14:paraId="0000002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Grafico probabile di funzioni algebriche: dominio, intersezione con gli assi, studio del segno, simmetrie, studio dei limiti agli estremi del dominio.</w:t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 unità 9)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052910" cy="578901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74" l="29842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firstLine="0"/>
      <w:jc w:val="left"/>
      <w:rPr>
        <w:rFonts w:ascii="Cambria Math" w:cs="Cambria Math" w:eastAsia="Cambria Math" w:hAnsi="Cambria Math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033.999999999998" w:type="dxa"/>
      <w:jc w:val="left"/>
      <w:tblInd w:w="-406.0" w:type="dxa"/>
      <w:tblLayout w:type="fixed"/>
      <w:tblLook w:val="0400"/>
    </w:tblPr>
    <w:tblGrid>
      <w:gridCol w:w="1138"/>
      <w:gridCol w:w="7758"/>
      <w:gridCol w:w="1138"/>
      <w:tblGridChange w:id="0">
        <w:tblGrid>
          <w:gridCol w:w="1138"/>
          <w:gridCol w:w="7758"/>
          <w:gridCol w:w="1138"/>
        </w:tblGrid>
      </w:tblGridChange>
    </w:tblGrid>
    <w:tr>
      <w:trPr>
        <w:cantSplit w:val="1"/>
        <w:trHeight w:val="1300" w:hRule="atLeast"/>
        <w:tblHeader w:val="1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11" name="image2.jpg"/>
                <a:graphic>
                  <a:graphicData uri="http://schemas.openxmlformats.org/drawingml/2006/picture">
                    <pic:pic>
                      <pic:nvPicPr>
                        <pic:cNvPr descr="Logo Remondini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2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2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3" name="image1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67" w:hRule="atLeast"/>
        <w:tblHeader w:val="1"/>
      </w:trPr>
      <w:tc>
        <w:tcPr>
          <w:gridSpan w:val="3"/>
          <w:vAlign w:val="center"/>
        </w:tcPr>
        <w:p w:rsidR="00000000" w:rsidDel="00000000" w:rsidP="00000000" w:rsidRDefault="00000000" w:rsidRPr="00000000" w14:paraId="0000002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5">
    <w:name w:val="heading 5"/>
    <w:basedOn w:val="Normale1"/>
    <w:next w:val="Normale1"/>
    <w:rsid w:val="00672DFB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rsid w:val="00672DF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672DFB"/>
  </w:style>
  <w:style w:type="table" w:styleId="TableNormal" w:customStyle="1">
    <w:name w:val="Table Normal"/>
    <w:rsid w:val="00672DF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672DFB"/>
    <w:pPr>
      <w:keepNext w:val="1"/>
      <w:keepLines w:val="1"/>
      <w:spacing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2" w:customStyle="1">
    <w:name w:val="Normale2"/>
    <w:rsid w:val="00F80D81"/>
  </w:style>
  <w:style w:type="paragraph" w:styleId="Sottotitolo">
    <w:name w:val="Subtitle"/>
    <w:basedOn w:val="Normale1"/>
    <w:next w:val="Normale1"/>
    <w:rsid w:val="00672DF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672DFB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6IPZimHMluOZbXqgHoio8VcCg==">CgMxLjAyCGguZ2pkZ3hzOAByITFzMy0xT3RLQmF6RmdlVG9MeEtpQlFBWUY5bHhwVFYxSA==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2024-05-20T08:40:00Z</dcterms:created>
  <dc:creator>Stefania Vivian</dc:creator>
</cp:coreProperties>
</file>