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014D" w14:textId="77777777" w:rsidR="00CC461F" w:rsidRDefault="00CC461F" w:rsidP="00CC461F">
      <w:pPr>
        <w:spacing w:after="160" w:line="259" w:lineRule="auto"/>
        <w:jc w:val="center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a.s.</w:t>
      </w:r>
      <w:proofErr w:type="spellEnd"/>
      <w:r>
        <w:rPr>
          <w:b/>
          <w:i/>
          <w:sz w:val="24"/>
          <w:szCs w:val="24"/>
        </w:rPr>
        <w:t xml:space="preserve"> 2022/2023</w:t>
      </w:r>
    </w:p>
    <w:p w14:paraId="6220CD3F" w14:textId="77777777" w:rsidR="00CC461F" w:rsidRDefault="00CC461F" w:rsidP="00CC461F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PROFESSIONALE - QUARTE SERVIZI COMMERCIALI</w:t>
      </w:r>
    </w:p>
    <w:p w14:paraId="1F6EE7D8" w14:textId="77777777" w:rsidR="00CC461F" w:rsidRDefault="00CC461F" w:rsidP="00CC4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CONOSCENZE, ABILITÀ E COMPETENZE</w:t>
      </w:r>
    </w:p>
    <w:p w14:paraId="7CC109E7" w14:textId="77777777" w:rsidR="00CC461F" w:rsidRDefault="00CC461F" w:rsidP="00CC46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TECNICHE PROFESSIONALI DEI SERVIZI COMMERCIALI</w:t>
      </w:r>
    </w:p>
    <w:p w14:paraId="14A5EB37" w14:textId="77777777" w:rsidR="00CC461F" w:rsidRDefault="00CC461F" w:rsidP="00CC461F">
      <w:pPr>
        <w:ind w:firstLine="708"/>
      </w:pPr>
      <w:r>
        <w:rPr>
          <w:b/>
        </w:rPr>
        <w:t>CONOSCENZE</w:t>
      </w:r>
    </w:p>
    <w:p w14:paraId="3C3D600B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La struttura finanziaria e le fonti di finanziamento dell’impresa</w:t>
      </w:r>
    </w:p>
    <w:p w14:paraId="199A4F47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bookmarkStart w:id="0" w:name="_gjdgxs" w:colFirst="0" w:colLast="0"/>
      <w:bookmarkEnd w:id="0"/>
      <w:r>
        <w:rPr>
          <w:rFonts w:cs="Calibri"/>
          <w:color w:val="000000"/>
        </w:rPr>
        <w:t>I finanziamenti di capitale proprio nelle società di persone e di capitali</w:t>
      </w:r>
    </w:p>
    <w:p w14:paraId="4FE022FF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 xml:space="preserve">L’autofinanziamento </w:t>
      </w:r>
    </w:p>
    <w:p w14:paraId="64AB600F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I finanziamenti di capitale di debito: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>finanziamenti</w:t>
      </w:r>
      <w:r>
        <w:rPr>
          <w:color w:val="000000"/>
        </w:rPr>
        <w:t xml:space="preserve"> </w:t>
      </w:r>
      <w:r>
        <w:rPr>
          <w:rFonts w:cs="Calibri"/>
          <w:color w:val="000000"/>
        </w:rPr>
        <w:t xml:space="preserve">bancari </w:t>
      </w:r>
    </w:p>
    <w:p w14:paraId="1D910DF9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rFonts w:cs="Calibri"/>
          <w:color w:val="000000"/>
        </w:rPr>
        <w:t>I prestiti obbligazionari</w:t>
      </w:r>
    </w:p>
    <w:p w14:paraId="60D1B9DC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La gestione dei processi di acquisto</w:t>
      </w:r>
    </w:p>
    <w:p w14:paraId="68D413CC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La gestione del processo delle vendite</w:t>
      </w:r>
    </w:p>
    <w:p w14:paraId="2B086203" w14:textId="77777777" w:rsidR="00CC461F" w:rsidRDefault="00CC461F" w:rsidP="00CC461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La gestione e l’amministrazione delle risorse umane</w:t>
      </w:r>
    </w:p>
    <w:p w14:paraId="7BA4CBF4" w14:textId="77777777" w:rsidR="00CC461F" w:rsidRDefault="00CC461F" w:rsidP="00CC46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0"/>
        <w:jc w:val="left"/>
        <w:rPr>
          <w:color w:val="000000"/>
        </w:rPr>
      </w:pPr>
    </w:p>
    <w:p w14:paraId="7C3138B0" w14:textId="77777777" w:rsidR="00CC461F" w:rsidRDefault="00CC461F" w:rsidP="00CC461F">
      <w:r>
        <w:rPr>
          <w:b/>
        </w:rPr>
        <w:t>ABILITÀ</w:t>
      </w:r>
    </w:p>
    <w:p w14:paraId="0758AB42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Individuare le forme giuridiche aziendali funzionali all’idea imprenditoriale.</w:t>
      </w:r>
    </w:p>
    <w:p w14:paraId="6FAEA511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Individuare le fonti di finanziamento adeguate alle esigenze aziendali.</w:t>
      </w:r>
    </w:p>
    <w:p w14:paraId="19FF6FD2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Individuare gli elementi che costituiscono il patrimonio d’impresa.</w:t>
      </w:r>
    </w:p>
    <w:p w14:paraId="77717B77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Individuare gli elementi che concorrono alla definizione del risultato economico d’impresa.</w:t>
      </w:r>
    </w:p>
    <w:p w14:paraId="579A7C90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Contribuire alla realizzazione delle attività funzionali alle diverse fasi della vita aziendale.</w:t>
      </w:r>
    </w:p>
    <w:p w14:paraId="5CA995B9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Operare nel sistema informativo aziendale.</w:t>
      </w:r>
    </w:p>
    <w:p w14:paraId="70E1CC3F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 xml:space="preserve">Individuare le attività connesse </w:t>
      </w:r>
      <w:proofErr w:type="spellStart"/>
      <w:r>
        <w:rPr>
          <w:rFonts w:cs="Calibri"/>
          <w:color w:val="000000"/>
        </w:rPr>
        <w:t>aI</w:t>
      </w:r>
      <w:proofErr w:type="spellEnd"/>
      <w:r>
        <w:rPr>
          <w:rFonts w:cs="Calibri"/>
          <w:color w:val="000000"/>
        </w:rPr>
        <w:t xml:space="preserve"> processi di acquisto, vendita e logistica.</w:t>
      </w:r>
    </w:p>
    <w:p w14:paraId="21657843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>Saper compilare e leggere una busta paga ed effettuare le relative registrazioni contabili</w:t>
      </w:r>
    </w:p>
    <w:p w14:paraId="4CC3610E" w14:textId="77777777" w:rsidR="00CC461F" w:rsidRDefault="00CC461F" w:rsidP="00CC461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b/>
          <w:color w:val="000000"/>
        </w:rPr>
      </w:pPr>
      <w:r>
        <w:rPr>
          <w:rFonts w:cs="Calibri"/>
          <w:color w:val="000000"/>
        </w:rPr>
        <w:t>Utilizzare software specifico di settore.</w:t>
      </w:r>
    </w:p>
    <w:p w14:paraId="7E6F3132" w14:textId="77777777" w:rsidR="00CC461F" w:rsidRDefault="00CC461F" w:rsidP="00CC461F">
      <w:pPr>
        <w:rPr>
          <w:b/>
        </w:rPr>
      </w:pPr>
    </w:p>
    <w:p w14:paraId="0ABF4693" w14:textId="77777777" w:rsidR="00CC461F" w:rsidRDefault="00CC461F" w:rsidP="00CC461F">
      <w:pPr>
        <w:ind w:firstLine="708"/>
        <w:rPr>
          <w:b/>
        </w:rPr>
      </w:pPr>
      <w:r>
        <w:rPr>
          <w:b/>
        </w:rPr>
        <w:t>COMPETENZE</w:t>
      </w:r>
    </w:p>
    <w:p w14:paraId="67032F2C" w14:textId="77777777" w:rsidR="00CC461F" w:rsidRDefault="00CC461F" w:rsidP="00CC461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 xml:space="preserve">svolgere attività connesse all’attuazione delle rilevazioni aziendali con l’utilizzo di strumenti tecnologici e software applicativi di settore </w:t>
      </w:r>
    </w:p>
    <w:p w14:paraId="0035868D" w14:textId="77777777" w:rsidR="00CC461F" w:rsidRDefault="00CC461F" w:rsidP="00CC461F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r>
        <w:rPr>
          <w:rFonts w:cs="Calibri"/>
          <w:color w:val="000000"/>
        </w:rPr>
        <w:t xml:space="preserve">contribuire alla realizzazione dell’amministrazione delle risorse umane con riferimento alla gestione delle paghe, al trattamento di fine rapporto ed ai connessi adempimenti previsti dalla normativa vigente </w:t>
      </w:r>
    </w:p>
    <w:p w14:paraId="2077815A" w14:textId="77777777" w:rsidR="00CC461F" w:rsidRDefault="00CC461F" w:rsidP="00CC461F">
      <w:pPr>
        <w:rPr>
          <w:b/>
        </w:rPr>
      </w:pPr>
    </w:p>
    <w:p w14:paraId="23AA2108" w14:textId="77777777" w:rsidR="00CC461F" w:rsidRDefault="00CC461F" w:rsidP="00CC461F">
      <w:pPr>
        <w:rPr>
          <w:b/>
        </w:rPr>
      </w:pPr>
    </w:p>
    <w:p w14:paraId="50C1EEC5" w14:textId="77777777" w:rsidR="00CC461F" w:rsidRDefault="00CC461F" w:rsidP="00CC461F">
      <w:pPr>
        <w:rPr>
          <w:b/>
        </w:rPr>
      </w:pPr>
    </w:p>
    <w:p w14:paraId="3AF1E49E" w14:textId="77777777" w:rsidR="00CC461F" w:rsidRDefault="00CC461F" w:rsidP="00CC461F">
      <w:pPr>
        <w:rPr>
          <w:b/>
        </w:rPr>
      </w:pPr>
      <w:r>
        <w:rPr>
          <w:b/>
        </w:rPr>
        <w:t>LIVELLO DI SUFFICIENZA</w:t>
      </w:r>
    </w:p>
    <w:p w14:paraId="6CDC4E33" w14:textId="77777777" w:rsidR="00CC461F" w:rsidRDefault="00CC461F" w:rsidP="00CC461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left"/>
      </w:pPr>
      <w:r>
        <w:rPr>
          <w:rFonts w:cs="Calibri"/>
          <w:color w:val="000000"/>
        </w:rPr>
        <w:t>L’alunno deve conoscere le operazioni tipiche e saper redigere le relative scritture contabili (conferimenti dei soci, riparto dell’utile, copertura della perdita d’esercizio, forme di finanziamento) delle società di persone e di capitali</w:t>
      </w:r>
    </w:p>
    <w:p w14:paraId="5AB0DB55" w14:textId="77777777" w:rsidR="00CC461F" w:rsidRDefault="00CC461F" w:rsidP="00CC461F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left"/>
      </w:pPr>
      <w:r>
        <w:rPr>
          <w:rFonts w:cs="Calibri"/>
          <w:color w:val="000000"/>
        </w:rPr>
        <w:lastRenderedPageBreak/>
        <w:t>L’alunno deve conoscere le operazioni di gestione degli acquisti e delle vendite</w:t>
      </w:r>
    </w:p>
    <w:p w14:paraId="4DDB3FCB" w14:textId="77777777" w:rsidR="00CC461F" w:rsidRDefault="00CC461F" w:rsidP="00CC461F">
      <w:pPr>
        <w:widowControl w:val="0"/>
        <w:numPr>
          <w:ilvl w:val="0"/>
          <w:numId w:val="13"/>
        </w:numPr>
        <w:spacing w:after="0"/>
        <w:ind w:left="720"/>
      </w:pPr>
      <w:r>
        <w:t>L'alunno deve saper redigere le scritture di assestamento, chiusura e apertura.</w:t>
      </w:r>
    </w:p>
    <w:p w14:paraId="6F2B2882" w14:textId="77777777" w:rsidR="00CC461F" w:rsidRDefault="00CC461F" w:rsidP="00CC461F">
      <w:pPr>
        <w:widowControl w:val="0"/>
        <w:spacing w:after="0"/>
      </w:pPr>
    </w:p>
    <w:p w14:paraId="65BDF44B" w14:textId="77777777" w:rsidR="00CC461F" w:rsidRDefault="00CC461F" w:rsidP="00CC461F">
      <w:pPr>
        <w:widowControl w:val="0"/>
        <w:spacing w:after="0"/>
      </w:pPr>
    </w:p>
    <w:p w14:paraId="27782440" w14:textId="38EFAE88" w:rsidR="0009041C" w:rsidRPr="00CC461F" w:rsidRDefault="0009041C" w:rsidP="00CC461F"/>
    <w:sectPr w:rsidR="0009041C" w:rsidRPr="00CC461F" w:rsidSect="0058692F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134" w:bottom="1134" w:left="1134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94D" w14:textId="77777777" w:rsidR="00991EA1" w:rsidRDefault="00991EA1" w:rsidP="00ED18CF">
      <w:pPr>
        <w:spacing w:after="0"/>
      </w:pPr>
      <w:r>
        <w:separator/>
      </w:r>
    </w:p>
  </w:endnote>
  <w:endnote w:type="continuationSeparator" w:id="0">
    <w:p w14:paraId="3154E56C" w14:textId="77777777" w:rsidR="00991EA1" w:rsidRDefault="00991EA1" w:rsidP="00ED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EA8E" w14:textId="77777777" w:rsidR="000F43DC" w:rsidRDefault="00F028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D355" w14:textId="77777777" w:rsidR="00506642" w:rsidRDefault="0058692F" w:rsidP="0058692F">
    <w:pPr>
      <w:pStyle w:val="Pidipagina"/>
      <w:jc w:val="center"/>
    </w:pPr>
    <w:r w:rsidRPr="0058692F">
      <w:rPr>
        <w:noProof/>
      </w:rPr>
      <w:drawing>
        <wp:inline distT="0" distB="0" distL="0" distR="0" wp14:anchorId="02EB97F6" wp14:editId="23316A0C">
          <wp:extent cx="5052910" cy="578901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843" t="57043" r="29302" b="35474"/>
                  <a:stretch>
                    <a:fillRect/>
                  </a:stretch>
                </pic:blipFill>
                <pic:spPr bwMode="auto">
                  <a:xfrm>
                    <a:off x="0" y="0"/>
                    <a:ext cx="5052910" cy="578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C53" w14:textId="77777777" w:rsidR="00991EA1" w:rsidRDefault="00991EA1" w:rsidP="00ED18CF">
      <w:pPr>
        <w:spacing w:after="0"/>
      </w:pPr>
      <w:r>
        <w:separator/>
      </w:r>
    </w:p>
  </w:footnote>
  <w:footnote w:type="continuationSeparator" w:id="0">
    <w:p w14:paraId="6664A1B9" w14:textId="77777777" w:rsidR="00991EA1" w:rsidRDefault="00991EA1" w:rsidP="00ED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D98C" w14:textId="77777777" w:rsidR="0054297F" w:rsidRDefault="00ED18C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FF"/>
        <w:sz w:val="16"/>
        <w:szCs w:val="16"/>
        <w:u w:val="single"/>
      </w:rPr>
    </w:pPr>
    <w:bookmarkStart w:id="1" w:name="_Hlk114825962"/>
    <w:r>
      <w:rPr>
        <w:color w:val="000000"/>
        <w:sz w:val="16"/>
        <w:szCs w:val="16"/>
      </w:rPr>
      <w:t xml:space="preserve">                                      </w:t>
    </w:r>
  </w:p>
  <w:bookmarkEnd w:id="1"/>
  <w:p w14:paraId="3E748549" w14:textId="77777777" w:rsidR="0054297F" w:rsidRDefault="0054297F" w:rsidP="000904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142"/>
      <w:jc w:val="center"/>
      <w:rPr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76" w:type="dxa"/>
      <w:tblLayout w:type="fixed"/>
      <w:tblLook w:val="0400" w:firstRow="0" w:lastRow="0" w:firstColumn="0" w:lastColumn="0" w:noHBand="0" w:noVBand="1"/>
    </w:tblPr>
    <w:tblGrid>
      <w:gridCol w:w="1138"/>
      <w:gridCol w:w="7760"/>
      <w:gridCol w:w="1138"/>
    </w:tblGrid>
    <w:tr w:rsidR="00506642" w14:paraId="7AE9B136" w14:textId="77777777" w:rsidTr="00506642">
      <w:trPr>
        <w:trHeight w:val="1300"/>
      </w:trPr>
      <w:tc>
        <w:tcPr>
          <w:tcW w:w="1138" w:type="dxa"/>
          <w:vAlign w:val="center"/>
        </w:tcPr>
        <w:p w14:paraId="5061018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337"/>
              <w:tab w:val="center" w:pos="4819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43BCD80E" wp14:editId="3EB96F59">
                <wp:extent cx="561542" cy="662804"/>
                <wp:effectExtent l="0" t="0" r="0" b="0"/>
                <wp:docPr id="12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42" cy="662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vAlign w:val="center"/>
        </w:tcPr>
        <w:p w14:paraId="34837F31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ISTITUTO DI ISTRUZIONE SUPERIORE “G.A. REMONDINI”</w:t>
          </w:r>
        </w:p>
        <w:p w14:paraId="33B33FA9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TECNICO PER IL TURISMO, LE BIOTECNOLOGIE SANITARIE E LA LOGISTICA</w:t>
          </w:r>
        </w:p>
        <w:p w14:paraId="7E9E0D7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PROFESSIONALE PER I SERVIZI COMMERCIALI,</w:t>
          </w:r>
          <w:r>
            <w:rPr>
              <w:b/>
              <w:sz w:val="14"/>
              <w:szCs w:val="14"/>
            </w:rPr>
            <w:t xml:space="preserve"> SERVIZI PER LA SANITÀ E L’ASSISTENZA SOCIALE,</w:t>
          </w:r>
        </w:p>
        <w:p w14:paraId="1077444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b/>
              <w:color w:val="000000"/>
              <w:sz w:val="14"/>
              <w:szCs w:val="14"/>
            </w:rPr>
          </w:pPr>
          <w:r>
            <w:rPr>
              <w:b/>
              <w:sz w:val="14"/>
              <w:szCs w:val="14"/>
            </w:rPr>
            <w:t>SERVIZI PER L'ENOGASTRONOMIA</w:t>
          </w:r>
        </w:p>
        <w:p w14:paraId="4A824A1A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Travettore, 33 – 36061 Bassano del Grappa (VI)</w:t>
          </w:r>
        </w:p>
        <w:p w14:paraId="0361B525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38" w:type="dxa"/>
          <w:vAlign w:val="center"/>
        </w:tcPr>
        <w:p w14:paraId="566EFCEB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6AF17023" wp14:editId="4B67E181">
                <wp:extent cx="469338" cy="501706"/>
                <wp:effectExtent l="0" t="0" r="6985" b="0"/>
                <wp:docPr id="13" name="image2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81" cy="5964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06642" w14:paraId="4BAC03BD" w14:textId="77777777" w:rsidTr="00506642">
      <w:trPr>
        <w:trHeight w:val="367"/>
      </w:trPr>
      <w:tc>
        <w:tcPr>
          <w:tcW w:w="10036" w:type="dxa"/>
          <w:gridSpan w:val="3"/>
          <w:vAlign w:val="center"/>
        </w:tcPr>
        <w:p w14:paraId="72406FC2" w14:textId="77777777" w:rsidR="00506642" w:rsidRDefault="00506642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</w:pPr>
          <w:r>
            <w:rPr>
              <w:color w:val="000000"/>
              <w:sz w:val="16"/>
              <w:szCs w:val="16"/>
            </w:rPr>
            <w:t xml:space="preserve">e-mail: </w:t>
          </w:r>
          <w:hyperlink r:id="rId3">
            <w:r>
              <w:rPr>
                <w:color w:val="0000FF"/>
                <w:sz w:val="16"/>
                <w:szCs w:val="16"/>
                <w:u w:val="single"/>
              </w:rPr>
              <w:t>viis01700l@istruzione.it</w:t>
            </w:r>
          </w:hyperlink>
          <w:r>
            <w:rPr>
              <w:color w:val="000000"/>
              <w:sz w:val="16"/>
              <w:szCs w:val="16"/>
            </w:rPr>
            <w:t xml:space="preserve"> – pec </w:t>
          </w:r>
          <w:hyperlink r:id="rId4">
            <w:r>
              <w:rPr>
                <w:color w:val="0000FF"/>
                <w:sz w:val="16"/>
                <w:szCs w:val="16"/>
                <w:u w:val="single"/>
              </w:rPr>
              <w:t>viis01700l@pec.istruzione.it</w:t>
            </w:r>
          </w:hyperlink>
          <w:r>
            <w:rPr>
              <w:color w:val="000000"/>
              <w:sz w:val="16"/>
              <w:szCs w:val="16"/>
            </w:rPr>
            <w:t xml:space="preserve"> Tel.  0424 523592/228672 – </w:t>
          </w:r>
          <w:hyperlink r:id="rId5" w:history="1">
            <w:r w:rsidRPr="00AC6388">
              <w:rPr>
                <w:color w:val="0000FF"/>
                <w:sz w:val="16"/>
                <w:szCs w:val="16"/>
                <w:u w:val="single"/>
              </w:rPr>
              <w:t>www.remondini.net</w:t>
            </w:r>
          </w:hyperlink>
        </w:p>
        <w:p w14:paraId="2D0C4B28" w14:textId="77777777" w:rsidR="00506642" w:rsidRDefault="00CC461F" w:rsidP="001F514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noProof/>
              <w:color w:val="000000"/>
              <w:sz w:val="28"/>
              <w:szCs w:val="28"/>
              <w:lang w:eastAsia="it-IT"/>
            </w:rPr>
          </w:pPr>
          <w:r>
            <w:rPr>
              <w:color w:val="000000"/>
              <w:sz w:val="16"/>
              <w:szCs w:val="16"/>
            </w:rPr>
            <w:pict w14:anchorId="6B42F631">
              <v:rect id="_x0000_i1025" style="width:477.1pt;height:1.35pt" o:hrpct="990" o:hralign="center" o:hrstd="t" o:hr="t" fillcolor="#a0a0a0" stroked="f"/>
            </w:pict>
          </w:r>
        </w:p>
      </w:tc>
    </w:tr>
  </w:tbl>
  <w:p w14:paraId="21184B12" w14:textId="77777777" w:rsidR="00506642" w:rsidRDefault="005066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12"/>
    <w:multiLevelType w:val="multilevel"/>
    <w:tmpl w:val="8148389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D14394"/>
    <w:multiLevelType w:val="multilevel"/>
    <w:tmpl w:val="A73A013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F2EEA"/>
    <w:multiLevelType w:val="multilevel"/>
    <w:tmpl w:val="15CC98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827E73"/>
    <w:multiLevelType w:val="multilevel"/>
    <w:tmpl w:val="A3765AC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D8121E"/>
    <w:multiLevelType w:val="multilevel"/>
    <w:tmpl w:val="8F2C14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FC701F"/>
    <w:multiLevelType w:val="multilevel"/>
    <w:tmpl w:val="4DCE2AA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071918"/>
    <w:multiLevelType w:val="multilevel"/>
    <w:tmpl w:val="A35EF4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4F41CD"/>
    <w:multiLevelType w:val="multilevel"/>
    <w:tmpl w:val="170213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13B726E"/>
    <w:multiLevelType w:val="multilevel"/>
    <w:tmpl w:val="4DD44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1BA3CCE"/>
    <w:multiLevelType w:val="multilevel"/>
    <w:tmpl w:val="F6BAC6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D96E58"/>
    <w:multiLevelType w:val="multilevel"/>
    <w:tmpl w:val="CC5EE7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155181"/>
    <w:multiLevelType w:val="multilevel"/>
    <w:tmpl w:val="0E5421CA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7701E47"/>
    <w:multiLevelType w:val="multilevel"/>
    <w:tmpl w:val="9A9A90E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6CB42CE"/>
    <w:multiLevelType w:val="multilevel"/>
    <w:tmpl w:val="1CA67DE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6F67BD1"/>
    <w:multiLevelType w:val="multilevel"/>
    <w:tmpl w:val="B96E3F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9BC67DF"/>
    <w:multiLevelType w:val="multilevel"/>
    <w:tmpl w:val="253CD9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161583">
    <w:abstractNumId w:val="14"/>
  </w:num>
  <w:num w:numId="2" w16cid:durableId="828402805">
    <w:abstractNumId w:val="6"/>
  </w:num>
  <w:num w:numId="3" w16cid:durableId="171727289">
    <w:abstractNumId w:val="2"/>
  </w:num>
  <w:num w:numId="4" w16cid:durableId="1737582774">
    <w:abstractNumId w:val="5"/>
  </w:num>
  <w:num w:numId="5" w16cid:durableId="148636721">
    <w:abstractNumId w:val="7"/>
  </w:num>
  <w:num w:numId="6" w16cid:durableId="176315179">
    <w:abstractNumId w:val="13"/>
  </w:num>
  <w:num w:numId="7" w16cid:durableId="1128862246">
    <w:abstractNumId w:val="8"/>
  </w:num>
  <w:num w:numId="8" w16cid:durableId="1958292943">
    <w:abstractNumId w:val="12"/>
  </w:num>
  <w:num w:numId="9" w16cid:durableId="1553686641">
    <w:abstractNumId w:val="9"/>
  </w:num>
  <w:num w:numId="10" w16cid:durableId="613248152">
    <w:abstractNumId w:val="10"/>
  </w:num>
  <w:num w:numId="11" w16cid:durableId="1406027466">
    <w:abstractNumId w:val="1"/>
  </w:num>
  <w:num w:numId="12" w16cid:durableId="1970164361">
    <w:abstractNumId w:val="3"/>
  </w:num>
  <w:num w:numId="13" w16cid:durableId="1356226124">
    <w:abstractNumId w:val="11"/>
  </w:num>
  <w:num w:numId="14" w16cid:durableId="1207596611">
    <w:abstractNumId w:val="4"/>
  </w:num>
  <w:num w:numId="15" w16cid:durableId="1261446380">
    <w:abstractNumId w:val="0"/>
  </w:num>
  <w:num w:numId="16" w16cid:durableId="568227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F"/>
    <w:rsid w:val="000222E8"/>
    <w:rsid w:val="0009041C"/>
    <w:rsid w:val="000F43DC"/>
    <w:rsid w:val="001D077F"/>
    <w:rsid w:val="00247AD6"/>
    <w:rsid w:val="00265E24"/>
    <w:rsid w:val="00266753"/>
    <w:rsid w:val="0033368B"/>
    <w:rsid w:val="003542F6"/>
    <w:rsid w:val="003A6ACE"/>
    <w:rsid w:val="003F47B4"/>
    <w:rsid w:val="00415028"/>
    <w:rsid w:val="004244F7"/>
    <w:rsid w:val="00506642"/>
    <w:rsid w:val="0053202F"/>
    <w:rsid w:val="0054297F"/>
    <w:rsid w:val="0058534D"/>
    <w:rsid w:val="0058692F"/>
    <w:rsid w:val="00605B4B"/>
    <w:rsid w:val="00614A5B"/>
    <w:rsid w:val="00662DFE"/>
    <w:rsid w:val="00674945"/>
    <w:rsid w:val="006B6DAD"/>
    <w:rsid w:val="00705F58"/>
    <w:rsid w:val="007B0869"/>
    <w:rsid w:val="008365C0"/>
    <w:rsid w:val="00865D7E"/>
    <w:rsid w:val="00893C91"/>
    <w:rsid w:val="008F54C4"/>
    <w:rsid w:val="00991EA1"/>
    <w:rsid w:val="00A367AE"/>
    <w:rsid w:val="00AA2818"/>
    <w:rsid w:val="00AC6388"/>
    <w:rsid w:val="00AD2F2F"/>
    <w:rsid w:val="00B96D3A"/>
    <w:rsid w:val="00C23305"/>
    <w:rsid w:val="00CA5873"/>
    <w:rsid w:val="00CC461F"/>
    <w:rsid w:val="00D95C84"/>
    <w:rsid w:val="00E35DA1"/>
    <w:rsid w:val="00ED18CF"/>
    <w:rsid w:val="00F02823"/>
    <w:rsid w:val="00F457BB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4BCEDB18"/>
  <w15:docId w15:val="{919AD993-B010-46FF-A356-56FDFFB5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5D7E"/>
    <w:pPr>
      <w:spacing w:after="12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8CF"/>
  </w:style>
  <w:style w:type="paragraph" w:styleId="Pidipagina">
    <w:name w:val="footer"/>
    <w:basedOn w:val="Normale"/>
    <w:link w:val="PidipaginaCarattere"/>
    <w:uiPriority w:val="99"/>
    <w:unhideWhenUsed/>
    <w:rsid w:val="00ED18CF"/>
    <w:pPr>
      <w:tabs>
        <w:tab w:val="center" w:pos="4819"/>
        <w:tab w:val="right" w:pos="9638"/>
      </w:tabs>
      <w:spacing w:after="0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8CF"/>
  </w:style>
  <w:style w:type="character" w:styleId="Collegamentoipertestuale">
    <w:name w:val="Hyperlink"/>
    <w:basedOn w:val="Carpredefinitoparagrafo"/>
    <w:uiPriority w:val="99"/>
    <w:unhideWhenUsed/>
    <w:rsid w:val="00ED18C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18C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65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4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41C"/>
    <w:rPr>
      <w:rFonts w:ascii="Tahoma" w:eastAsia="Calibri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33368B"/>
    <w:rPr>
      <w:i/>
      <w:iCs/>
      <w:color w:val="404040" w:themeColor="text1" w:themeTint="BF"/>
    </w:rPr>
  </w:style>
  <w:style w:type="paragraph" w:customStyle="1" w:styleId="Normale1">
    <w:name w:val="Normale1"/>
    <w:rsid w:val="008365C0"/>
    <w:pPr>
      <w:spacing w:after="120" w:line="240" w:lineRule="auto"/>
      <w:ind w:firstLine="709"/>
      <w:jc w:val="both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Vivian</dc:creator>
  <cp:lastModifiedBy>Anna</cp:lastModifiedBy>
  <cp:revision>2</cp:revision>
  <dcterms:created xsi:type="dcterms:W3CDTF">2023-05-29T18:17:00Z</dcterms:created>
  <dcterms:modified xsi:type="dcterms:W3CDTF">2023-05-29T18:17:00Z</dcterms:modified>
</cp:coreProperties>
</file>